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1536" w14:textId="52A6472F" w:rsidR="00693B5B" w:rsidRDefault="00C22225">
      <w:pPr>
        <w:pStyle w:val="Titel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2F4C3BF" wp14:editId="0517F73C">
            <wp:simplePos x="0" y="0"/>
            <wp:positionH relativeFrom="column">
              <wp:posOffset>-174171</wp:posOffset>
            </wp:positionH>
            <wp:positionV relativeFrom="paragraph">
              <wp:posOffset>432345</wp:posOffset>
            </wp:positionV>
            <wp:extent cx="2990850" cy="1695450"/>
            <wp:effectExtent l="0" t="0" r="0" b="0"/>
            <wp:wrapSquare wrapText="bothSides"/>
            <wp:docPr id="411" name="Picture 411" descr="Afbeelding met Lettertype, logo, Graphics, Merk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 descr="Afbeelding met Lettertype, logo, Graphics, Merk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 xml:space="preserve">Motions </w:t>
      </w:r>
      <w:r>
        <w:t xml:space="preserve">Jeunes MR </w:t>
      </w:r>
      <w:proofErr w:type="spellStart"/>
      <w:r>
        <w:t>Kraainem</w:t>
      </w:r>
      <w:proofErr w:type="spellEnd"/>
    </w:p>
    <w:p w14:paraId="1B02661A" w14:textId="064D0B2B" w:rsidR="00693B5B" w:rsidRDefault="00693B5B"/>
    <w:p w14:paraId="4613B0BD" w14:textId="6BFBE09A" w:rsidR="00693B5B" w:rsidRDefault="00693B5B">
      <w:pPr>
        <w:rPr>
          <w:sz w:val="28"/>
          <w:szCs w:val="28"/>
        </w:rPr>
      </w:pPr>
    </w:p>
    <w:p w14:paraId="7C700C76" w14:textId="7B4CF6D5" w:rsidR="00693B5B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Auteur : </w:t>
      </w:r>
      <w:r w:rsidR="00C22225">
        <w:rPr>
          <w:sz w:val="28"/>
          <w:szCs w:val="28"/>
        </w:rPr>
        <w:t xml:space="preserve">Jeunes MR </w:t>
      </w:r>
      <w:proofErr w:type="spellStart"/>
      <w:r w:rsidR="00C22225">
        <w:rPr>
          <w:sz w:val="28"/>
          <w:szCs w:val="28"/>
        </w:rPr>
        <w:t>Kraainem</w:t>
      </w:r>
      <w:bookmarkStart w:id="0" w:name="_bmk7dzj1qlzi" w:colFirst="0" w:colLast="0"/>
      <w:bookmarkEnd w:id="0"/>
      <w:proofErr w:type="spellEnd"/>
    </w:p>
    <w:p w14:paraId="719B07D8" w14:textId="77777777" w:rsidR="00693B5B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Catégorie : Mobilité</w:t>
      </w:r>
    </w:p>
    <w:p w14:paraId="6388E8C5" w14:textId="77777777" w:rsidR="00693B5B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Niveau de Pouvoir : Régional</w:t>
      </w:r>
    </w:p>
    <w:p w14:paraId="1656BEC9" w14:textId="2602B8BD" w:rsidR="00693B5B" w:rsidRDefault="00693B5B">
      <w:pPr>
        <w:jc w:val="right"/>
        <w:rPr>
          <w:sz w:val="28"/>
          <w:szCs w:val="28"/>
        </w:rPr>
      </w:pPr>
    </w:p>
    <w:p w14:paraId="361085C3" w14:textId="77777777" w:rsidR="00C22225" w:rsidRDefault="00C22225">
      <w:pPr>
        <w:jc w:val="right"/>
        <w:rPr>
          <w:sz w:val="28"/>
          <w:szCs w:val="28"/>
        </w:rPr>
      </w:pPr>
    </w:p>
    <w:p w14:paraId="15F4B687" w14:textId="77777777" w:rsidR="00C22225" w:rsidRDefault="00C22225">
      <w:pPr>
        <w:jc w:val="right"/>
        <w:rPr>
          <w:sz w:val="28"/>
          <w:szCs w:val="28"/>
        </w:rPr>
      </w:pPr>
    </w:p>
    <w:p w14:paraId="18E1EA1B" w14:textId="680B1103" w:rsidR="00693B5B" w:rsidRDefault="00000000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jc w:val="center"/>
        <w:rPr>
          <w:sz w:val="28"/>
          <w:szCs w:val="28"/>
        </w:rPr>
      </w:pPr>
      <w:r>
        <w:rPr>
          <w:b/>
          <w:color w:val="1F1F1F"/>
          <w:sz w:val="24"/>
          <w:szCs w:val="24"/>
          <w:highlight w:val="white"/>
        </w:rPr>
        <w:t xml:space="preserve">Les Jeunes MR plaident pour une collaboration renforcée entre la STIB, la TEC et De </w:t>
      </w:r>
      <w:proofErr w:type="spellStart"/>
      <w:r>
        <w:rPr>
          <w:b/>
          <w:color w:val="1F1F1F"/>
          <w:sz w:val="24"/>
          <w:szCs w:val="24"/>
          <w:highlight w:val="white"/>
        </w:rPr>
        <w:t>Lijn</w:t>
      </w:r>
      <w:proofErr w:type="spellEnd"/>
      <w:r>
        <w:rPr>
          <w:b/>
          <w:color w:val="1F1F1F"/>
          <w:sz w:val="24"/>
          <w:szCs w:val="24"/>
          <w:highlight w:val="white"/>
        </w:rPr>
        <w:t xml:space="preserve"> dans les zones de chevauchement</w:t>
      </w:r>
      <w:r w:rsidR="00C22225">
        <w:rPr>
          <w:b/>
          <w:color w:val="1F1F1F"/>
          <w:sz w:val="24"/>
          <w:szCs w:val="24"/>
        </w:rPr>
        <w:t>.</w:t>
      </w:r>
    </w:p>
    <w:p w14:paraId="2DDED36B" w14:textId="77777777" w:rsidR="00693B5B" w:rsidRDefault="00693B5B">
      <w:pPr>
        <w:rPr>
          <w:sz w:val="28"/>
          <w:szCs w:val="28"/>
        </w:rPr>
      </w:pPr>
    </w:p>
    <w:p w14:paraId="58617FE5" w14:textId="77777777" w:rsidR="00693B5B" w:rsidRDefault="00000000">
      <w:pPr>
        <w:numPr>
          <w:ilvl w:val="0"/>
          <w:numId w:val="3"/>
        </w:numPr>
        <w:rPr>
          <w:i/>
          <w:color w:val="4A86E8"/>
          <w:sz w:val="28"/>
          <w:szCs w:val="28"/>
        </w:rPr>
      </w:pPr>
      <w:r>
        <w:rPr>
          <w:i/>
          <w:color w:val="4A86E8"/>
          <w:sz w:val="28"/>
          <w:szCs w:val="28"/>
          <w:u w:val="single"/>
        </w:rPr>
        <w:t>ÉTAT DES LIEUX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6B99F4B" wp14:editId="2A20D73D">
            <wp:simplePos x="0" y="0"/>
            <wp:positionH relativeFrom="column">
              <wp:posOffset>4305300</wp:posOffset>
            </wp:positionH>
            <wp:positionV relativeFrom="paragraph">
              <wp:posOffset>225605</wp:posOffset>
            </wp:positionV>
            <wp:extent cx="1728788" cy="170820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1708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744DBB" w14:textId="77777777" w:rsidR="00693B5B" w:rsidRDefault="00693B5B">
      <w:pPr>
        <w:ind w:left="720"/>
        <w:rPr>
          <w:i/>
          <w:color w:val="4A86E8"/>
          <w:sz w:val="28"/>
          <w:szCs w:val="28"/>
          <w:u w:val="single"/>
        </w:rPr>
      </w:pPr>
    </w:p>
    <w:p w14:paraId="1BD6DB19" w14:textId="77777777" w:rsidR="00693B5B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En considérant que :</w:t>
      </w:r>
    </w:p>
    <w:p w14:paraId="1CA01198" w14:textId="77777777" w:rsidR="00693B5B" w:rsidRDefault="00693B5B">
      <w:pPr>
        <w:ind w:left="720"/>
        <w:rPr>
          <w:sz w:val="24"/>
          <w:szCs w:val="24"/>
        </w:rPr>
      </w:pPr>
    </w:p>
    <w:p w14:paraId="43CFC0F2" w14:textId="77777777" w:rsidR="00693B5B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 existe déjà deux formules (</w:t>
      </w:r>
      <w:proofErr w:type="spellStart"/>
      <w:r>
        <w:rPr>
          <w:sz w:val="24"/>
          <w:szCs w:val="24"/>
        </w:rPr>
        <w:t>Brupass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Brupass</w:t>
      </w:r>
      <w:proofErr w:type="spellEnd"/>
      <w:r>
        <w:rPr>
          <w:sz w:val="24"/>
          <w:szCs w:val="24"/>
        </w:rPr>
        <w:t xml:space="preserve"> XL) vouées à répondre à ces besoins</w:t>
      </w:r>
    </w:p>
    <w:p w14:paraId="1429DDC2" w14:textId="77777777" w:rsidR="00693B5B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ces formules ne couvrent pas toutes les zones assujetties à cette situation</w:t>
      </w:r>
    </w:p>
    <w:p w14:paraId="252D06C9" w14:textId="77777777" w:rsidR="00693B5B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à certains endroits il faut utiliser les services des trois sociétés, rendant le coût de transport élevé.</w:t>
      </w:r>
      <w:r>
        <w:rPr>
          <w:sz w:val="24"/>
          <w:szCs w:val="24"/>
        </w:rPr>
        <w:br/>
      </w:r>
    </w:p>
    <w:p w14:paraId="4B6A2669" w14:textId="77777777" w:rsidR="00693B5B" w:rsidRDefault="00693B5B">
      <w:pPr>
        <w:rPr>
          <w:sz w:val="24"/>
          <w:szCs w:val="24"/>
        </w:rPr>
      </w:pPr>
    </w:p>
    <w:p w14:paraId="4250585F" w14:textId="77777777" w:rsidR="00693B5B" w:rsidRDefault="00000000">
      <w:pPr>
        <w:rPr>
          <w:i/>
          <w:color w:val="4A86E8"/>
          <w:sz w:val="28"/>
          <w:szCs w:val="28"/>
          <w:u w:val="single"/>
        </w:rPr>
      </w:pPr>
      <w:r>
        <w:br w:type="page"/>
      </w:r>
    </w:p>
    <w:p w14:paraId="1F5B0044" w14:textId="77777777" w:rsidR="00693B5B" w:rsidRDefault="00000000">
      <w:pPr>
        <w:numPr>
          <w:ilvl w:val="0"/>
          <w:numId w:val="3"/>
        </w:numPr>
        <w:rPr>
          <w:i/>
          <w:color w:val="4A86E8"/>
          <w:sz w:val="28"/>
          <w:szCs w:val="28"/>
        </w:rPr>
      </w:pPr>
      <w:r>
        <w:rPr>
          <w:i/>
          <w:color w:val="4A86E8"/>
          <w:sz w:val="28"/>
          <w:szCs w:val="28"/>
          <w:u w:val="single"/>
        </w:rPr>
        <w:lastRenderedPageBreak/>
        <w:t>MOTIVATION DE LA PROPOSITION</w:t>
      </w:r>
    </w:p>
    <w:p w14:paraId="0125FCAF" w14:textId="77777777" w:rsidR="00693B5B" w:rsidRDefault="00693B5B">
      <w:pPr>
        <w:ind w:left="720"/>
        <w:rPr>
          <w:sz w:val="24"/>
          <w:szCs w:val="24"/>
        </w:rPr>
      </w:pPr>
    </w:p>
    <w:p w14:paraId="295B8018" w14:textId="77777777" w:rsidR="00693B5B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Sachant que :</w:t>
      </w:r>
    </w:p>
    <w:p w14:paraId="364DED3D" w14:textId="77777777" w:rsidR="00693B5B" w:rsidRDefault="00693B5B">
      <w:pPr>
        <w:ind w:left="720"/>
        <w:rPr>
          <w:sz w:val="24"/>
          <w:szCs w:val="24"/>
        </w:rPr>
      </w:pPr>
    </w:p>
    <w:p w14:paraId="66931E4D" w14:textId="77777777" w:rsidR="00693B5B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Nous avons besoin d’un meilleur transport, en particulier pour les personnes qui viennent de l’extérieur de Bruxelles pour rentrer à Bruxelles, ils sont des milliers chaque jour.</w:t>
      </w:r>
    </w:p>
    <w:p w14:paraId="34FE701A" w14:textId="77777777" w:rsidR="00693B5B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Si tous les étudiants peuvent bénéficier d’un tarif spécial pour la STIB, c’est plus compliqué lorsqu’un étudiant d’une université flamande utilise la TEC et </w:t>
      </w:r>
      <w:proofErr w:type="spellStart"/>
      <w:r>
        <w:rPr>
          <w:sz w:val="24"/>
          <w:szCs w:val="24"/>
        </w:rPr>
        <w:t>inversément</w:t>
      </w:r>
      <w:proofErr w:type="spellEnd"/>
      <w:r>
        <w:rPr>
          <w:sz w:val="24"/>
          <w:szCs w:val="24"/>
        </w:rPr>
        <w:t>, eux aussi sont des milliers chaque jour.</w:t>
      </w:r>
    </w:p>
    <w:p w14:paraId="201F6027" w14:textId="77777777" w:rsidR="00693B5B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Améliorer, favoriser le transport répond à tous les enjeux d’une Société moderne, qu’ils soient climatiques, financiers, démographiques, etc.</w:t>
      </w:r>
    </w:p>
    <w:p w14:paraId="6EB86F50" w14:textId="77777777" w:rsidR="00693B5B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Les Jeunes MR sont pour une </w:t>
      </w:r>
      <w:proofErr w:type="spellStart"/>
      <w:r>
        <w:rPr>
          <w:sz w:val="24"/>
          <w:szCs w:val="24"/>
        </w:rPr>
        <w:t>refédéralisation</w:t>
      </w:r>
      <w:proofErr w:type="spellEnd"/>
      <w:r>
        <w:rPr>
          <w:sz w:val="24"/>
          <w:szCs w:val="24"/>
        </w:rPr>
        <w:t xml:space="preserve"> des trois sociétés de transports en question et que cette motion n’a que pour objet d’une amélioration du système actuel en attendant qu’une </w:t>
      </w:r>
      <w:proofErr w:type="spellStart"/>
      <w:r>
        <w:rPr>
          <w:sz w:val="24"/>
          <w:szCs w:val="24"/>
        </w:rPr>
        <w:t>refédéralisation</w:t>
      </w:r>
      <w:proofErr w:type="spellEnd"/>
      <w:r>
        <w:rPr>
          <w:sz w:val="24"/>
          <w:szCs w:val="24"/>
        </w:rPr>
        <w:t xml:space="preserve"> soit mise en place.</w:t>
      </w:r>
    </w:p>
    <w:p w14:paraId="34934447" w14:textId="77777777" w:rsidR="00693B5B" w:rsidRDefault="00000000">
      <w:pPr>
        <w:rPr>
          <w:i/>
          <w:color w:val="4A86E8"/>
          <w:sz w:val="28"/>
          <w:szCs w:val="28"/>
          <w:u w:val="single"/>
        </w:rPr>
      </w:pPr>
      <w:r>
        <w:br w:type="page"/>
      </w:r>
    </w:p>
    <w:p w14:paraId="10AF2725" w14:textId="77777777" w:rsidR="00693B5B" w:rsidRDefault="00000000">
      <w:pPr>
        <w:numPr>
          <w:ilvl w:val="0"/>
          <w:numId w:val="3"/>
        </w:numPr>
        <w:rPr>
          <w:i/>
          <w:color w:val="4A86E8"/>
          <w:sz w:val="28"/>
          <w:szCs w:val="28"/>
        </w:rPr>
      </w:pPr>
      <w:r>
        <w:rPr>
          <w:i/>
          <w:color w:val="4A86E8"/>
          <w:sz w:val="28"/>
          <w:szCs w:val="28"/>
          <w:u w:val="single"/>
        </w:rPr>
        <w:lastRenderedPageBreak/>
        <w:t>PROPOSITION CONCRÈTE :</w:t>
      </w:r>
    </w:p>
    <w:p w14:paraId="2A7D77A1" w14:textId="77777777" w:rsidR="00693B5B" w:rsidRDefault="00693B5B">
      <w:pPr>
        <w:ind w:left="720"/>
        <w:rPr>
          <w:i/>
          <w:color w:val="4A86E8"/>
          <w:sz w:val="28"/>
          <w:szCs w:val="28"/>
          <w:u w:val="single"/>
        </w:rPr>
      </w:pPr>
    </w:p>
    <w:p w14:paraId="2A633661" w14:textId="77777777" w:rsidR="00693B5B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En 3 points clés, la section Jeunes MR </w:t>
      </w:r>
      <w:proofErr w:type="spellStart"/>
      <w:r>
        <w:rPr>
          <w:sz w:val="24"/>
          <w:szCs w:val="24"/>
        </w:rPr>
        <w:t>Kraainem</w:t>
      </w:r>
      <w:proofErr w:type="spellEnd"/>
      <w:r>
        <w:rPr>
          <w:sz w:val="24"/>
          <w:szCs w:val="24"/>
        </w:rPr>
        <w:t xml:space="preserve"> appelle à  :</w:t>
      </w:r>
    </w:p>
    <w:p w14:paraId="3B29E761" w14:textId="77777777" w:rsidR="00693B5B" w:rsidRDefault="00693B5B">
      <w:pPr>
        <w:ind w:left="720"/>
        <w:rPr>
          <w:sz w:val="24"/>
          <w:szCs w:val="24"/>
        </w:rPr>
      </w:pPr>
    </w:p>
    <w:p w14:paraId="519E3A4C" w14:textId="77777777" w:rsidR="00693B5B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 tarif spécialement dédié aux personnes devant utiliser au moins deux des trois sociétés de transports que sont : STIB, TEC et DE LIJN.</w:t>
      </w:r>
    </w:p>
    <w:p w14:paraId="3E2F4914" w14:textId="77777777" w:rsidR="00693B5B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Une collaboration et une communication efficace entre les trois sociétés pour les arrêts de chevauchement afin qu’il y ait une meilleure coordination de celles-ci</w:t>
      </w:r>
    </w:p>
    <w:p w14:paraId="37136B71" w14:textId="77777777" w:rsidR="00693B5B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Une formule à la manière de BRUPASS et BRUPASS XL, couvrant absolument tous les points de chevauchements de au moins deux des trois sociétés de transports concernées</w:t>
      </w:r>
    </w:p>
    <w:p w14:paraId="7F0DAC75" w14:textId="77777777" w:rsidR="00693B5B" w:rsidRDefault="00693B5B">
      <w:pPr>
        <w:pStyle w:val="Titel"/>
        <w:jc w:val="center"/>
      </w:pPr>
      <w:bookmarkStart w:id="1" w:name="_a5mx6xaxwmxu" w:colFirst="0" w:colLast="0"/>
      <w:bookmarkEnd w:id="1"/>
    </w:p>
    <w:p w14:paraId="4A9DFF9C" w14:textId="77777777" w:rsidR="00693B5B" w:rsidRDefault="00693B5B">
      <w:pPr>
        <w:pStyle w:val="Titel"/>
        <w:jc w:val="center"/>
      </w:pPr>
      <w:bookmarkStart w:id="2" w:name="_vbkcpoic1ota" w:colFirst="0" w:colLast="0"/>
      <w:bookmarkEnd w:id="2"/>
    </w:p>
    <w:p w14:paraId="2A63EE4C" w14:textId="77777777" w:rsidR="00693B5B" w:rsidRDefault="00693B5B"/>
    <w:sectPr w:rsidR="00693B5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270"/>
    <w:multiLevelType w:val="multilevel"/>
    <w:tmpl w:val="DA2C8C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CBC480C"/>
    <w:multiLevelType w:val="multilevel"/>
    <w:tmpl w:val="8CBA3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B61153"/>
    <w:multiLevelType w:val="multilevel"/>
    <w:tmpl w:val="C706AB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58081624">
    <w:abstractNumId w:val="0"/>
  </w:num>
  <w:num w:numId="2" w16cid:durableId="425657748">
    <w:abstractNumId w:val="2"/>
  </w:num>
  <w:num w:numId="3" w16cid:durableId="1658458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5B"/>
    <w:rsid w:val="00693B5B"/>
    <w:rsid w:val="00C2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00C654"/>
  <w15:docId w15:val="{B9B05AA2-9474-8645-8470-39D2200E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Dorsan de Potter</cp:lastModifiedBy>
  <cp:revision>2</cp:revision>
  <dcterms:created xsi:type="dcterms:W3CDTF">2024-04-03T07:52:00Z</dcterms:created>
  <dcterms:modified xsi:type="dcterms:W3CDTF">2024-04-03T07:52:00Z</dcterms:modified>
</cp:coreProperties>
</file>