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D733" w14:textId="77777777" w:rsidR="006C390A" w:rsidRPr="00D13F0D" w:rsidRDefault="00000000">
      <w:pPr>
        <w:spacing w:after="0"/>
        <w:ind w:left="4800"/>
        <w:rPr>
          <w:lang w:val="fr-FR"/>
        </w:rPr>
      </w:pPr>
      <w:r>
        <w:rPr>
          <w:noProof/>
        </w:rPr>
        <w:drawing>
          <wp:anchor distT="0" distB="0" distL="114300" distR="114300" simplePos="0" relativeHeight="251658240" behindDoc="0" locked="0" layoutInCell="1" allowOverlap="0" wp14:anchorId="399CC165" wp14:editId="4DB41722">
            <wp:simplePos x="0" y="0"/>
            <wp:positionH relativeFrom="column">
              <wp:posOffset>-66674</wp:posOffset>
            </wp:positionH>
            <wp:positionV relativeFrom="paragraph">
              <wp:posOffset>-250476</wp:posOffset>
            </wp:positionV>
            <wp:extent cx="2990850" cy="1695450"/>
            <wp:effectExtent l="0" t="0" r="0" b="0"/>
            <wp:wrapSquare wrapText="bothSides"/>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5"/>
                    <a:stretch>
                      <a:fillRect/>
                    </a:stretch>
                  </pic:blipFill>
                  <pic:spPr>
                    <a:xfrm>
                      <a:off x="0" y="0"/>
                      <a:ext cx="2990850" cy="1695450"/>
                    </a:xfrm>
                    <a:prstGeom prst="rect">
                      <a:avLst/>
                    </a:prstGeom>
                  </pic:spPr>
                </pic:pic>
              </a:graphicData>
            </a:graphic>
          </wp:anchor>
        </w:drawing>
      </w:r>
      <w:r w:rsidRPr="00D13F0D">
        <w:rPr>
          <w:b/>
          <w:color w:val="243861"/>
          <w:sz w:val="36"/>
          <w:lang w:val="fr-FR"/>
        </w:rPr>
        <w:t>FORMULAIRE DE DÉPÔT DE MOTION</w:t>
      </w:r>
    </w:p>
    <w:p w14:paraId="51121197" w14:textId="0AC0C900" w:rsidR="00C74FCA" w:rsidRDefault="00C74FCA" w:rsidP="00C74FCA">
      <w:pPr>
        <w:spacing w:after="595"/>
        <w:ind w:left="4800"/>
        <w:rPr>
          <w:color w:val="343433"/>
          <w:sz w:val="21"/>
          <w:lang w:val="fr-FR"/>
        </w:rPr>
      </w:pPr>
      <w:r>
        <w:rPr>
          <w:noProof/>
          <w:color w:val="343433"/>
          <w:sz w:val="21"/>
          <w:lang w:val="fr-FR"/>
        </w:rPr>
        <mc:AlternateContent>
          <mc:Choice Requires="wps">
            <w:drawing>
              <wp:anchor distT="0" distB="0" distL="114300" distR="114300" simplePos="0" relativeHeight="251660288" behindDoc="0" locked="0" layoutInCell="1" allowOverlap="1" wp14:anchorId="20EBC37E" wp14:editId="2C34411D">
                <wp:simplePos x="0" y="0"/>
                <wp:positionH relativeFrom="column">
                  <wp:posOffset>3202577</wp:posOffset>
                </wp:positionH>
                <wp:positionV relativeFrom="paragraph">
                  <wp:posOffset>393519</wp:posOffset>
                </wp:positionV>
                <wp:extent cx="3248297" cy="1071154"/>
                <wp:effectExtent l="0" t="0" r="15875" b="8890"/>
                <wp:wrapNone/>
                <wp:docPr id="1445641091" name="Tekstvak 1"/>
                <wp:cNvGraphicFramePr/>
                <a:graphic xmlns:a="http://schemas.openxmlformats.org/drawingml/2006/main">
                  <a:graphicData uri="http://schemas.microsoft.com/office/word/2010/wordprocessingShape">
                    <wps:wsp>
                      <wps:cNvSpPr txBox="1"/>
                      <wps:spPr>
                        <a:xfrm>
                          <a:off x="0" y="0"/>
                          <a:ext cx="3248297" cy="1071154"/>
                        </a:xfrm>
                        <a:prstGeom prst="rect">
                          <a:avLst/>
                        </a:prstGeom>
                        <a:solidFill>
                          <a:schemeClr val="lt1"/>
                        </a:solidFill>
                        <a:ln w="6350">
                          <a:solidFill>
                            <a:prstClr val="black"/>
                          </a:solidFill>
                        </a:ln>
                      </wps:spPr>
                      <wps:txbx>
                        <w:txbxContent>
                          <w:p w14:paraId="6BB2AD6E" w14:textId="77777777" w:rsidR="00C74FCA" w:rsidRPr="00D13F0D" w:rsidRDefault="00C74FCA" w:rsidP="00C74FCA">
                            <w:pPr>
                              <w:spacing w:after="101"/>
                              <w:ind w:left="10" w:hanging="10"/>
                              <w:rPr>
                                <w:lang w:val="fr-FR"/>
                              </w:rPr>
                            </w:pPr>
                            <w:r w:rsidRPr="00D13F0D">
                              <w:rPr>
                                <w:b/>
                                <w:color w:val="343433"/>
                                <w:sz w:val="24"/>
                                <w:lang w:val="fr-FR"/>
                              </w:rPr>
                              <w:t xml:space="preserve">Auteur du document : </w:t>
                            </w:r>
                            <w:r w:rsidRPr="00D13F0D">
                              <w:rPr>
                                <w:i/>
                                <w:color w:val="818282"/>
                                <w:sz w:val="24"/>
                                <w:lang w:val="fr-FR"/>
                              </w:rPr>
                              <w:t>GT justice, défense, sécurité</w:t>
                            </w:r>
                            <w:r>
                              <w:rPr>
                                <w:i/>
                                <w:color w:val="818282"/>
                                <w:sz w:val="24"/>
                                <w:lang w:val="fr-FR"/>
                              </w:rPr>
                              <w:t xml:space="preserve"> et protection des libertés individuelles. </w:t>
                            </w:r>
                          </w:p>
                          <w:p w14:paraId="40B44222" w14:textId="77777777" w:rsidR="00C74FCA" w:rsidRPr="00D13F0D" w:rsidRDefault="00C74FCA" w:rsidP="00C74FCA">
                            <w:pPr>
                              <w:spacing w:after="98" w:line="265" w:lineRule="auto"/>
                              <w:ind w:right="-344"/>
                              <w:rPr>
                                <w:lang w:val="fr-FR"/>
                              </w:rPr>
                            </w:pPr>
                            <w:r w:rsidRPr="00D13F0D">
                              <w:rPr>
                                <w:b/>
                                <w:color w:val="343433"/>
                                <w:sz w:val="24"/>
                                <w:lang w:val="fr-FR"/>
                              </w:rPr>
                              <w:t xml:space="preserve">Catégorie : </w:t>
                            </w:r>
                            <w:r w:rsidRPr="00D13F0D">
                              <w:rPr>
                                <w:i/>
                                <w:color w:val="818282"/>
                                <w:sz w:val="24"/>
                                <w:lang w:val="fr-FR"/>
                              </w:rPr>
                              <w:t>Défense</w:t>
                            </w:r>
                          </w:p>
                          <w:p w14:paraId="5E59DEDA" w14:textId="77777777" w:rsidR="00C74FCA" w:rsidRPr="00D13F0D" w:rsidRDefault="00C74FCA" w:rsidP="00C74FCA">
                            <w:pPr>
                              <w:spacing w:after="816" w:line="265" w:lineRule="auto"/>
                              <w:rPr>
                                <w:lang w:val="fr-FR"/>
                              </w:rPr>
                            </w:pPr>
                            <w:r w:rsidRPr="00D13F0D">
                              <w:rPr>
                                <w:b/>
                                <w:color w:val="343433"/>
                                <w:sz w:val="24"/>
                                <w:lang w:val="fr-FR"/>
                              </w:rPr>
                              <w:t xml:space="preserve">Niveau de pouvoir : </w:t>
                            </w:r>
                            <w:r w:rsidRPr="00D13F0D">
                              <w:rPr>
                                <w:i/>
                                <w:color w:val="818282"/>
                                <w:sz w:val="24"/>
                                <w:lang w:val="fr-FR"/>
                              </w:rPr>
                              <w:t>Fédéral</w:t>
                            </w:r>
                          </w:p>
                          <w:p w14:paraId="629AAB8A" w14:textId="77777777" w:rsidR="00C74FCA" w:rsidRPr="00C74FCA" w:rsidRDefault="00C74FCA">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EBC37E" id="_x0000_t202" coordsize="21600,21600" o:spt="202" path="m,l,21600r21600,l21600,xe">
                <v:stroke joinstyle="miter"/>
                <v:path gradientshapeok="t" o:connecttype="rect"/>
              </v:shapetype>
              <v:shape id="Tekstvak 1" o:spid="_x0000_s1026" type="#_x0000_t202" style="position:absolute;left:0;text-align:left;margin-left:252.15pt;margin-top:31pt;width:255.75pt;height:8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" fillcolor="white [3201]" strokeweight=".5pt">
                <v:textbox>
                  <w:txbxContent>
                    <w:p w14:paraId="6BB2AD6E" w14:textId="77777777" w:rsidR="00C74FCA" w:rsidRPr="00D13F0D" w:rsidRDefault="00C74FCA" w:rsidP="00C74FCA">
                      <w:pPr>
                        <w:spacing w:after="101"/>
                        <w:ind w:left="10" w:hanging="10"/>
                        <w:rPr>
                          <w:lang w:val="fr-FR"/>
                        </w:rPr>
                      </w:pPr>
                      <w:r w:rsidRPr="00D13F0D">
                        <w:rPr>
                          <w:b/>
                          <w:color w:val="343433"/>
                          <w:sz w:val="24"/>
                          <w:lang w:val="fr-FR"/>
                        </w:rPr>
                        <w:t xml:space="preserve">Auteur du document : </w:t>
                      </w:r>
                      <w:r w:rsidRPr="00D13F0D">
                        <w:rPr>
                          <w:i/>
                          <w:color w:val="818282"/>
                          <w:sz w:val="24"/>
                          <w:lang w:val="fr-FR"/>
                        </w:rPr>
                        <w:t>GT justice, défense, sécurité</w:t>
                      </w:r>
                      <w:r>
                        <w:rPr>
                          <w:i/>
                          <w:color w:val="818282"/>
                          <w:sz w:val="24"/>
                          <w:lang w:val="fr-FR"/>
                        </w:rPr>
                        <w:t xml:space="preserve"> et protection des libertés individuelles. </w:t>
                      </w:r>
                    </w:p>
                    <w:p w14:paraId="40B44222" w14:textId="77777777" w:rsidR="00C74FCA" w:rsidRPr="00D13F0D" w:rsidRDefault="00C74FCA" w:rsidP="00C74FCA">
                      <w:pPr>
                        <w:spacing w:after="98" w:line="265" w:lineRule="auto"/>
                        <w:ind w:right="-344"/>
                        <w:rPr>
                          <w:lang w:val="fr-FR"/>
                        </w:rPr>
                      </w:pPr>
                      <w:r w:rsidRPr="00D13F0D">
                        <w:rPr>
                          <w:b/>
                          <w:color w:val="343433"/>
                          <w:sz w:val="24"/>
                          <w:lang w:val="fr-FR"/>
                        </w:rPr>
                        <w:t xml:space="preserve">Catégorie : </w:t>
                      </w:r>
                      <w:r w:rsidRPr="00D13F0D">
                        <w:rPr>
                          <w:i/>
                          <w:color w:val="818282"/>
                          <w:sz w:val="24"/>
                          <w:lang w:val="fr-FR"/>
                        </w:rPr>
                        <w:t>Défense</w:t>
                      </w:r>
                    </w:p>
                    <w:p w14:paraId="5E59DEDA" w14:textId="77777777" w:rsidR="00C74FCA" w:rsidRPr="00D13F0D" w:rsidRDefault="00C74FCA" w:rsidP="00C74FCA">
                      <w:pPr>
                        <w:spacing w:after="816" w:line="265" w:lineRule="auto"/>
                        <w:rPr>
                          <w:lang w:val="fr-FR"/>
                        </w:rPr>
                      </w:pPr>
                      <w:r w:rsidRPr="00D13F0D">
                        <w:rPr>
                          <w:b/>
                          <w:color w:val="343433"/>
                          <w:sz w:val="24"/>
                          <w:lang w:val="fr-FR"/>
                        </w:rPr>
                        <w:t xml:space="preserve">Niveau de pouvoir : </w:t>
                      </w:r>
                      <w:r w:rsidRPr="00D13F0D">
                        <w:rPr>
                          <w:i/>
                          <w:color w:val="818282"/>
                          <w:sz w:val="24"/>
                          <w:lang w:val="fr-FR"/>
                        </w:rPr>
                        <w:t>Fédéral</w:t>
                      </w:r>
                    </w:p>
                    <w:p w14:paraId="629AAB8A" w14:textId="77777777" w:rsidR="00C74FCA" w:rsidRPr="00C74FCA" w:rsidRDefault="00C74FCA">
                      <w:pPr>
                        <w:rPr>
                          <w:lang w:val="fr-FR"/>
                        </w:rPr>
                      </w:pPr>
                    </w:p>
                  </w:txbxContent>
                </v:textbox>
              </v:shape>
            </w:pict>
          </mc:Fallback>
        </mc:AlternateContent>
      </w:r>
      <w:r w:rsidR="00000000" w:rsidRPr="00D13F0D">
        <w:rPr>
          <w:color w:val="343433"/>
          <w:sz w:val="21"/>
          <w:lang w:val="fr-FR"/>
        </w:rPr>
        <w:t>Document relatif au congrès du 13 mai à Bruxelles</w:t>
      </w:r>
    </w:p>
    <w:p w14:paraId="0B7E8E50" w14:textId="77777777" w:rsidR="00C74FCA" w:rsidRDefault="00C74FCA" w:rsidP="00C74FCA">
      <w:pPr>
        <w:spacing w:after="595"/>
        <w:ind w:left="4800"/>
        <w:rPr>
          <w:color w:val="343433"/>
          <w:sz w:val="21"/>
          <w:lang w:val="fr-FR"/>
        </w:rPr>
      </w:pPr>
    </w:p>
    <w:p w14:paraId="039B1740" w14:textId="77777777" w:rsidR="00C74FCA" w:rsidRPr="00C74FCA" w:rsidRDefault="00C74FCA" w:rsidP="00C74FCA">
      <w:pPr>
        <w:spacing w:after="595"/>
        <w:ind w:left="4800"/>
        <w:rPr>
          <w:lang w:val="fr-FR"/>
        </w:rPr>
      </w:pPr>
    </w:p>
    <w:p w14:paraId="61B9B00F" w14:textId="3D39AEF7" w:rsidR="006C390A" w:rsidRPr="00D13F0D" w:rsidRDefault="00000000" w:rsidP="00C74FCA">
      <w:pPr>
        <w:pBdr>
          <w:top w:val="single" w:sz="4" w:space="1" w:color="auto"/>
          <w:left w:val="single" w:sz="4" w:space="4" w:color="auto"/>
          <w:bottom w:val="single" w:sz="4" w:space="1" w:color="auto"/>
          <w:right w:val="single" w:sz="4" w:space="4" w:color="auto"/>
        </w:pBdr>
        <w:spacing w:after="339"/>
        <w:ind w:left="10" w:hanging="10"/>
        <w:rPr>
          <w:lang w:val="fr-FR"/>
        </w:rPr>
      </w:pPr>
      <w:r w:rsidRPr="00D13F0D">
        <w:rPr>
          <w:i/>
          <w:color w:val="818282"/>
          <w:sz w:val="24"/>
          <w:lang w:val="fr-FR"/>
        </w:rPr>
        <w:t>L</w:t>
      </w:r>
      <w:r w:rsidR="00C74FCA">
        <w:rPr>
          <w:i/>
          <w:color w:val="818282"/>
          <w:sz w:val="24"/>
          <w:lang w:val="fr-FR"/>
        </w:rPr>
        <w:t>es Jeunes MR proposent l’</w:t>
      </w:r>
      <w:r w:rsidRPr="00D13F0D">
        <w:rPr>
          <w:i/>
          <w:color w:val="818282"/>
          <w:sz w:val="24"/>
          <w:lang w:val="fr-FR"/>
        </w:rPr>
        <w:t>ouverture du service d’utilité collective à tous les jeunes</w:t>
      </w:r>
    </w:p>
    <w:p w14:paraId="2BA42A2F" w14:textId="4259A0B5" w:rsidR="006C390A" w:rsidRPr="00C74FCA" w:rsidRDefault="00C74FCA" w:rsidP="00C74FCA">
      <w:pPr>
        <w:pStyle w:val="Lijstalinea"/>
        <w:numPr>
          <w:ilvl w:val="0"/>
          <w:numId w:val="4"/>
        </w:numPr>
        <w:spacing w:after="0"/>
        <w:ind w:right="11"/>
        <w:rPr>
          <w:b/>
          <w:i/>
          <w:iCs/>
          <w:color w:val="4C94D8" w:themeColor="text2" w:themeTint="80"/>
          <w:sz w:val="28"/>
        </w:rPr>
      </w:pPr>
      <w:r w:rsidRPr="00C74FCA">
        <w:rPr>
          <w:b/>
          <w:i/>
          <w:iCs/>
          <w:color w:val="4C94D8" w:themeColor="text2" w:themeTint="80"/>
          <w:sz w:val="28"/>
        </w:rPr>
        <w:t>ÉTAT DES LIEUX :</w:t>
      </w:r>
    </w:p>
    <w:p w14:paraId="618A3DE7" w14:textId="0DC896E1" w:rsidR="00C74FCA" w:rsidRDefault="00C74FCA" w:rsidP="00C74FCA">
      <w:pPr>
        <w:spacing w:after="0"/>
        <w:ind w:left="160" w:right="11" w:hanging="10"/>
      </w:pPr>
      <w:r>
        <w:t>En considérant que :</w:t>
      </w:r>
    </w:p>
    <w:p w14:paraId="53F314C8" w14:textId="0B86368B" w:rsidR="006C390A" w:rsidRPr="00D13F0D" w:rsidRDefault="00000000" w:rsidP="00C74FCA">
      <w:pPr>
        <w:numPr>
          <w:ilvl w:val="0"/>
          <w:numId w:val="1"/>
        </w:numPr>
        <w:spacing w:after="48"/>
        <w:ind w:right="11" w:hanging="360"/>
        <w:rPr>
          <w:lang w:val="fr-FR"/>
        </w:rPr>
      </w:pPr>
      <w:r w:rsidRPr="00D13F0D">
        <w:rPr>
          <w:color w:val="343433"/>
          <w:sz w:val="24"/>
          <w:lang w:val="fr-FR"/>
        </w:rPr>
        <w:t>La Défense souhaite recruter plus de civils car elle est en grand manque d’effectif</w:t>
      </w:r>
      <w:r w:rsidR="00D13F0D" w:rsidRPr="00D13F0D">
        <w:rPr>
          <w:color w:val="343433"/>
          <w:sz w:val="24"/>
          <w:lang w:val="fr-FR"/>
        </w:rPr>
        <w:t xml:space="preserve"> : </w:t>
      </w:r>
      <w:hyperlink r:id="rId6" w:history="1">
        <w:r w:rsidR="00D13F0D" w:rsidRPr="00D13F0D">
          <w:rPr>
            <w:rStyle w:val="Hyperlink"/>
            <w:sz w:val="24"/>
            <w:lang w:val="fr-FR"/>
          </w:rPr>
          <w:t>4000 postes à pourvoir cette année</w:t>
        </w:r>
      </w:hyperlink>
      <w:r w:rsidR="00D13F0D">
        <w:rPr>
          <w:color w:val="343433"/>
          <w:sz w:val="24"/>
          <w:vertAlign w:val="superscript"/>
          <w:lang w:val="fr-FR"/>
        </w:rPr>
        <w:t>1</w:t>
      </w:r>
      <w:r w:rsidR="00D13F0D">
        <w:rPr>
          <w:color w:val="343433"/>
          <w:sz w:val="24"/>
          <w:lang w:val="fr-FR"/>
        </w:rPr>
        <w:t xml:space="preserve"> </w:t>
      </w:r>
      <w:r w:rsidRPr="00D13F0D">
        <w:rPr>
          <w:color w:val="343433"/>
          <w:sz w:val="24"/>
          <w:lang w:val="fr-FR"/>
        </w:rPr>
        <w:t>.</w:t>
      </w:r>
    </w:p>
    <w:p w14:paraId="2F710FFA" w14:textId="77777777" w:rsidR="006C390A" w:rsidRPr="00D13F0D" w:rsidRDefault="00000000" w:rsidP="00C74FCA">
      <w:pPr>
        <w:numPr>
          <w:ilvl w:val="0"/>
          <w:numId w:val="1"/>
        </w:numPr>
        <w:spacing w:after="13"/>
        <w:ind w:right="11" w:hanging="360"/>
        <w:rPr>
          <w:lang w:val="fr-FR"/>
        </w:rPr>
      </w:pPr>
      <w:r w:rsidRPr="00D13F0D">
        <w:rPr>
          <w:sz w:val="24"/>
          <w:lang w:val="fr-FR"/>
        </w:rPr>
        <w:t>La Défense souhaite mettre en place un encadrement social pour les jeunes.</w:t>
      </w:r>
    </w:p>
    <w:p w14:paraId="1F7EC310" w14:textId="77777777" w:rsidR="006C390A" w:rsidRPr="00D13F0D" w:rsidRDefault="00000000" w:rsidP="00C74FCA">
      <w:pPr>
        <w:numPr>
          <w:ilvl w:val="0"/>
          <w:numId w:val="1"/>
        </w:numPr>
        <w:spacing w:after="13"/>
        <w:ind w:right="11" w:hanging="360"/>
        <w:rPr>
          <w:lang w:val="fr-FR"/>
        </w:rPr>
      </w:pPr>
      <w:r w:rsidRPr="00D13F0D">
        <w:rPr>
          <w:sz w:val="24"/>
          <w:lang w:val="fr-FR"/>
        </w:rPr>
        <w:t>La Ministre de la Défense souhaite donner aux jeunes le sentiment d’être utile au sein de la communauté.</w:t>
      </w:r>
    </w:p>
    <w:p w14:paraId="5D0DFD19" w14:textId="77777777" w:rsidR="006C390A" w:rsidRPr="00D13F0D" w:rsidRDefault="00000000" w:rsidP="00C74FCA">
      <w:pPr>
        <w:numPr>
          <w:ilvl w:val="0"/>
          <w:numId w:val="1"/>
        </w:numPr>
        <w:spacing w:after="13"/>
        <w:ind w:right="11" w:hanging="360"/>
        <w:rPr>
          <w:lang w:val="fr-FR"/>
        </w:rPr>
      </w:pPr>
      <w:r w:rsidRPr="00D13F0D">
        <w:rPr>
          <w:sz w:val="24"/>
          <w:lang w:val="fr-FR"/>
        </w:rPr>
        <w:t>Le SUC souhaite développer les potentiels individuels et collectifs au sein de la jeunesse ainsi que l’esprit de solidarité et les relations humaines.</w:t>
      </w:r>
    </w:p>
    <w:p w14:paraId="7CB3A270" w14:textId="77777777" w:rsidR="006C390A" w:rsidRPr="00D13F0D" w:rsidRDefault="00000000" w:rsidP="00C74FCA">
      <w:pPr>
        <w:numPr>
          <w:ilvl w:val="0"/>
          <w:numId w:val="1"/>
        </w:numPr>
        <w:spacing w:after="48"/>
        <w:ind w:right="11" w:hanging="360"/>
        <w:rPr>
          <w:lang w:val="fr-FR"/>
        </w:rPr>
      </w:pPr>
      <w:r w:rsidRPr="00D13F0D">
        <w:rPr>
          <w:sz w:val="24"/>
          <w:lang w:val="fr-FR"/>
        </w:rPr>
        <w:t>La Ministre Dedonder souhaite susciter des vocations au sein de l’armée auprès de la jeunesse.</w:t>
      </w:r>
    </w:p>
    <w:p w14:paraId="126B9448" w14:textId="77777777" w:rsidR="006C390A" w:rsidRPr="00D13F0D" w:rsidRDefault="00000000" w:rsidP="00C74FCA">
      <w:pPr>
        <w:numPr>
          <w:ilvl w:val="0"/>
          <w:numId w:val="1"/>
        </w:numPr>
        <w:spacing w:after="13"/>
        <w:ind w:right="11" w:hanging="360"/>
        <w:rPr>
          <w:lang w:val="fr-FR"/>
        </w:rPr>
      </w:pPr>
      <w:r w:rsidRPr="00D13F0D">
        <w:rPr>
          <w:sz w:val="24"/>
          <w:lang w:val="fr-FR"/>
        </w:rPr>
        <w:t>Le service d’utilité collective ne prendra pas la forme d’un service militaire sur base volontaire.</w:t>
      </w:r>
    </w:p>
    <w:p w14:paraId="44244FB8" w14:textId="77777777" w:rsidR="006C390A" w:rsidRPr="00D13F0D" w:rsidRDefault="00000000" w:rsidP="00C74FCA">
      <w:pPr>
        <w:numPr>
          <w:ilvl w:val="0"/>
          <w:numId w:val="1"/>
        </w:numPr>
        <w:spacing w:after="48"/>
        <w:ind w:right="11" w:hanging="360"/>
        <w:rPr>
          <w:lang w:val="fr-FR"/>
        </w:rPr>
      </w:pPr>
      <w:r>
        <w:rPr>
          <w:noProof/>
        </w:rPr>
        <w:drawing>
          <wp:anchor distT="0" distB="0" distL="114300" distR="114300" simplePos="0" relativeHeight="251659264" behindDoc="0" locked="0" layoutInCell="1" allowOverlap="0" wp14:anchorId="10E84C38" wp14:editId="3AC0C428">
            <wp:simplePos x="0" y="0"/>
            <wp:positionH relativeFrom="page">
              <wp:posOffset>359999</wp:posOffset>
            </wp:positionH>
            <wp:positionV relativeFrom="page">
              <wp:posOffset>10100046</wp:posOffset>
            </wp:positionV>
            <wp:extent cx="6838950" cy="9525"/>
            <wp:effectExtent l="0" t="0" r="0" b="0"/>
            <wp:wrapTopAndBottom/>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7"/>
                    <a:stretch>
                      <a:fillRect/>
                    </a:stretch>
                  </pic:blipFill>
                  <pic:spPr>
                    <a:xfrm>
                      <a:off x="0" y="0"/>
                      <a:ext cx="6838950" cy="9525"/>
                    </a:xfrm>
                    <a:prstGeom prst="rect">
                      <a:avLst/>
                    </a:prstGeom>
                  </pic:spPr>
                </pic:pic>
              </a:graphicData>
            </a:graphic>
          </wp:anchor>
        </w:drawing>
      </w:r>
      <w:r w:rsidRPr="00D13F0D">
        <w:rPr>
          <w:sz w:val="24"/>
          <w:lang w:val="fr-FR"/>
        </w:rPr>
        <w:t>La Belgique n’a toujours pas de service citoyen instauré par une norme légale.</w:t>
      </w:r>
    </w:p>
    <w:p w14:paraId="40131D36" w14:textId="2AEFDCC9" w:rsidR="006C390A" w:rsidRPr="00D13F0D" w:rsidRDefault="00000000" w:rsidP="00C74FCA">
      <w:pPr>
        <w:numPr>
          <w:ilvl w:val="0"/>
          <w:numId w:val="1"/>
        </w:numPr>
        <w:spacing w:after="595"/>
        <w:ind w:right="11" w:hanging="360"/>
        <w:rPr>
          <w:lang w:val="fr-FR"/>
        </w:rPr>
      </w:pPr>
      <w:r w:rsidRPr="00D13F0D">
        <w:rPr>
          <w:sz w:val="24"/>
          <w:lang w:val="fr-FR"/>
        </w:rPr>
        <w:t>La loi instaurant le service d’utilité collective prévoit la possibilité d’étendre le champ d’action de ce service</w:t>
      </w:r>
      <w:r w:rsidR="00D13F0D">
        <w:rPr>
          <w:sz w:val="24"/>
          <w:lang w:val="fr-FR"/>
        </w:rPr>
        <w:t xml:space="preserve"> : </w:t>
      </w:r>
      <w:hyperlink r:id="rId8" w:history="1">
        <w:r w:rsidR="00D13F0D" w:rsidRPr="00D13F0D">
          <w:rPr>
            <w:rStyle w:val="Hyperlink"/>
            <w:sz w:val="24"/>
            <w:lang w:val="fr-FR"/>
          </w:rPr>
          <w:t>300 000 jeunes sont concernés</w:t>
        </w:r>
      </w:hyperlink>
      <w:r w:rsidR="00D13F0D">
        <w:rPr>
          <w:sz w:val="24"/>
          <w:lang w:val="fr-FR"/>
        </w:rPr>
        <w:t xml:space="preserve"> mais seuls </w:t>
      </w:r>
      <w:hyperlink r:id="rId9" w:history="1">
        <w:r w:rsidR="00D13F0D" w:rsidRPr="00D13F0D">
          <w:rPr>
            <w:rStyle w:val="Hyperlink"/>
            <w:sz w:val="24"/>
            <w:lang w:val="fr-FR"/>
          </w:rPr>
          <w:t>200 places devraient être dis</w:t>
        </w:r>
        <w:r w:rsidR="00D13F0D" w:rsidRPr="00D13F0D">
          <w:rPr>
            <w:rStyle w:val="Hyperlink"/>
            <w:sz w:val="24"/>
            <w:lang w:val="fr-FR"/>
          </w:rPr>
          <w:t>p</w:t>
        </w:r>
        <w:r w:rsidR="00D13F0D" w:rsidRPr="00D13F0D">
          <w:rPr>
            <w:rStyle w:val="Hyperlink"/>
            <w:sz w:val="24"/>
            <w:lang w:val="fr-FR"/>
          </w:rPr>
          <w:t>onibles</w:t>
        </w:r>
      </w:hyperlink>
      <w:r w:rsidR="00D13F0D">
        <w:rPr>
          <w:sz w:val="24"/>
          <w:lang w:val="fr-FR"/>
        </w:rPr>
        <w:t xml:space="preserve"> </w:t>
      </w:r>
      <w:hyperlink r:id="rId10" w:history="1">
        <w:r w:rsidR="00D13F0D" w:rsidRPr="00D13F0D">
          <w:rPr>
            <w:rStyle w:val="Hyperlink"/>
            <w:sz w:val="24"/>
            <w:lang w:val="fr-FR"/>
          </w:rPr>
          <w:t>et elles ne sont pas spécialement attractives</w:t>
        </w:r>
      </w:hyperlink>
    </w:p>
    <w:p w14:paraId="0E5FDB46" w14:textId="77777777" w:rsidR="00C74FCA" w:rsidRDefault="00C74FCA">
      <w:pPr>
        <w:spacing w:line="278" w:lineRule="auto"/>
        <w:rPr>
          <w:b/>
          <w:color w:val="343433"/>
          <w:sz w:val="28"/>
        </w:rPr>
      </w:pPr>
      <w:r>
        <w:rPr>
          <w:b/>
          <w:color w:val="343433"/>
          <w:sz w:val="28"/>
        </w:rPr>
        <w:br w:type="page"/>
      </w:r>
    </w:p>
    <w:p w14:paraId="38547284" w14:textId="7D325124" w:rsidR="006C390A" w:rsidRPr="00C74FCA" w:rsidRDefault="00000000" w:rsidP="00C74FCA">
      <w:pPr>
        <w:pStyle w:val="Lijstalinea"/>
        <w:numPr>
          <w:ilvl w:val="0"/>
          <w:numId w:val="4"/>
        </w:numPr>
        <w:spacing w:after="0"/>
        <w:ind w:right="11"/>
        <w:rPr>
          <w:b/>
          <w:i/>
          <w:iCs/>
          <w:color w:val="4C94D8" w:themeColor="text2" w:themeTint="80"/>
          <w:sz w:val="28"/>
        </w:rPr>
      </w:pPr>
      <w:r w:rsidRPr="00C74FCA">
        <w:rPr>
          <w:b/>
          <w:i/>
          <w:iCs/>
          <w:color w:val="4C94D8" w:themeColor="text2" w:themeTint="80"/>
          <w:sz w:val="28"/>
        </w:rPr>
        <w:lastRenderedPageBreak/>
        <w:t>Motivation de la proposition :</w:t>
      </w:r>
    </w:p>
    <w:p w14:paraId="1D38BF9B" w14:textId="601EFBDE" w:rsidR="00C74FCA" w:rsidRDefault="00C74FCA" w:rsidP="00C74FCA">
      <w:pPr>
        <w:spacing w:after="0"/>
        <w:ind w:left="160" w:right="11" w:hanging="10"/>
      </w:pPr>
      <w:r>
        <w:t>Sachant que :</w:t>
      </w:r>
    </w:p>
    <w:p w14:paraId="1AB9F9E3" w14:textId="77777777" w:rsidR="006C390A" w:rsidRPr="00D13F0D" w:rsidRDefault="00000000" w:rsidP="00C74FCA">
      <w:pPr>
        <w:numPr>
          <w:ilvl w:val="0"/>
          <w:numId w:val="2"/>
        </w:numPr>
        <w:spacing w:after="48"/>
        <w:ind w:right="11" w:hanging="360"/>
        <w:rPr>
          <w:lang w:val="fr-FR"/>
        </w:rPr>
      </w:pPr>
      <w:r w:rsidRPr="00D13F0D">
        <w:rPr>
          <w:sz w:val="24"/>
          <w:lang w:val="fr-FR"/>
        </w:rPr>
        <w:t>Le Service Citoyen souhaite que la Belgique se mobilise pour des missions d’utilités collectives.</w:t>
      </w:r>
    </w:p>
    <w:p w14:paraId="6BB43B53" w14:textId="77777777" w:rsidR="006C390A" w:rsidRPr="00D13F0D" w:rsidRDefault="00000000" w:rsidP="00C74FCA">
      <w:pPr>
        <w:numPr>
          <w:ilvl w:val="0"/>
          <w:numId w:val="2"/>
        </w:numPr>
        <w:spacing w:after="13"/>
        <w:ind w:right="11" w:hanging="360"/>
        <w:rPr>
          <w:lang w:val="fr-FR"/>
        </w:rPr>
      </w:pPr>
      <w:r w:rsidRPr="00D13F0D">
        <w:rPr>
          <w:sz w:val="24"/>
          <w:lang w:val="fr-FR"/>
        </w:rPr>
        <w:t>Le service que souhaite mettre en place la Ministre de la Défense est semblable à ce que souhaite mettre en place le Service Citoyen.</w:t>
      </w:r>
    </w:p>
    <w:p w14:paraId="7C54D264" w14:textId="77777777" w:rsidR="006C390A" w:rsidRPr="00D13F0D" w:rsidRDefault="00000000" w:rsidP="00C74FCA">
      <w:pPr>
        <w:numPr>
          <w:ilvl w:val="0"/>
          <w:numId w:val="2"/>
        </w:numPr>
        <w:spacing w:after="13"/>
        <w:ind w:right="11" w:hanging="360"/>
        <w:rPr>
          <w:lang w:val="fr-FR"/>
        </w:rPr>
      </w:pPr>
      <w:r w:rsidRPr="00D13F0D">
        <w:rPr>
          <w:sz w:val="24"/>
          <w:lang w:val="fr-FR"/>
        </w:rPr>
        <w:t>La Défense souhaite offrir aux jeunes la possibilité de découvrir l’armée.</w:t>
      </w:r>
    </w:p>
    <w:p w14:paraId="5D182E41" w14:textId="77777777" w:rsidR="006C390A" w:rsidRPr="00D13F0D" w:rsidRDefault="00000000" w:rsidP="00C74FCA">
      <w:pPr>
        <w:numPr>
          <w:ilvl w:val="0"/>
          <w:numId w:val="2"/>
        </w:numPr>
        <w:spacing w:after="13"/>
        <w:ind w:right="11" w:hanging="360"/>
        <w:rPr>
          <w:lang w:val="fr-FR"/>
        </w:rPr>
      </w:pPr>
      <w:r w:rsidRPr="00D13F0D">
        <w:rPr>
          <w:sz w:val="24"/>
          <w:lang w:val="fr-FR"/>
        </w:rPr>
        <w:t>La formation mise en place par la défense donnera la possibilités aux jeunes de suivre une carrière en tant que civil ou militaire au sein de l’armée.</w:t>
      </w:r>
    </w:p>
    <w:p w14:paraId="03B34B0F" w14:textId="77777777" w:rsidR="006C390A" w:rsidRPr="00D13F0D" w:rsidRDefault="00000000" w:rsidP="00C74FCA">
      <w:pPr>
        <w:numPr>
          <w:ilvl w:val="0"/>
          <w:numId w:val="2"/>
        </w:numPr>
        <w:spacing w:after="13"/>
        <w:ind w:right="11" w:hanging="360"/>
        <w:rPr>
          <w:lang w:val="fr-FR"/>
        </w:rPr>
      </w:pPr>
      <w:r w:rsidRPr="00D13F0D">
        <w:rPr>
          <w:sz w:val="24"/>
          <w:lang w:val="fr-FR"/>
        </w:rPr>
        <w:t>Le Service Citoyen est un service d’utilité collective.</w:t>
      </w:r>
    </w:p>
    <w:p w14:paraId="105330F4" w14:textId="77777777" w:rsidR="006C390A" w:rsidRPr="00D13F0D" w:rsidRDefault="00000000" w:rsidP="00C74FCA">
      <w:pPr>
        <w:numPr>
          <w:ilvl w:val="0"/>
          <w:numId w:val="2"/>
        </w:numPr>
        <w:spacing w:after="13"/>
        <w:ind w:right="11" w:hanging="360"/>
        <w:rPr>
          <w:lang w:val="fr-FR"/>
        </w:rPr>
      </w:pPr>
      <w:r w:rsidRPr="00D13F0D">
        <w:rPr>
          <w:sz w:val="24"/>
          <w:lang w:val="fr-FR"/>
        </w:rPr>
        <w:t>La formation à la fin du service d’utilité collective est une formation certifiée qui sera utile pour d’autres emplois.</w:t>
      </w:r>
    </w:p>
    <w:p w14:paraId="6289C473" w14:textId="77777777" w:rsidR="006C390A" w:rsidRPr="00D13F0D" w:rsidRDefault="00000000" w:rsidP="00C74FCA">
      <w:pPr>
        <w:numPr>
          <w:ilvl w:val="0"/>
          <w:numId w:val="2"/>
        </w:numPr>
        <w:spacing w:after="73"/>
        <w:ind w:right="11" w:hanging="360"/>
        <w:rPr>
          <w:lang w:val="fr-FR"/>
        </w:rPr>
      </w:pPr>
      <w:r w:rsidRPr="00D13F0D">
        <w:rPr>
          <w:sz w:val="24"/>
          <w:lang w:val="fr-FR"/>
        </w:rPr>
        <w:t>Le service d’utilité collective serait un bon moyen pour tous les jeunes de découvrir la solidarité et la citoyenneté.</w:t>
      </w:r>
    </w:p>
    <w:p w14:paraId="0D386795" w14:textId="77777777" w:rsidR="00C74FCA" w:rsidRDefault="00C74FCA">
      <w:pPr>
        <w:spacing w:line="278" w:lineRule="auto"/>
        <w:rPr>
          <w:b/>
          <w:color w:val="343433"/>
          <w:sz w:val="28"/>
          <w:lang w:val="fr-FR"/>
        </w:rPr>
      </w:pPr>
      <w:r>
        <w:rPr>
          <w:b/>
          <w:color w:val="343433"/>
          <w:sz w:val="28"/>
          <w:lang w:val="fr-FR"/>
        </w:rPr>
        <w:br w:type="page"/>
      </w:r>
    </w:p>
    <w:p w14:paraId="5A425860" w14:textId="463F80AE" w:rsidR="006C390A" w:rsidRPr="00C74FCA" w:rsidRDefault="00000000" w:rsidP="00C74FCA">
      <w:pPr>
        <w:pStyle w:val="Lijstalinea"/>
        <w:numPr>
          <w:ilvl w:val="0"/>
          <w:numId w:val="4"/>
        </w:numPr>
        <w:spacing w:after="0"/>
        <w:ind w:right="11"/>
        <w:rPr>
          <w:b/>
          <w:i/>
          <w:iCs/>
          <w:color w:val="4C94D8" w:themeColor="text2" w:themeTint="80"/>
          <w:sz w:val="28"/>
        </w:rPr>
      </w:pPr>
      <w:r w:rsidRPr="00C74FCA">
        <w:rPr>
          <w:b/>
          <w:i/>
          <w:iCs/>
          <w:color w:val="4C94D8" w:themeColor="text2" w:themeTint="80"/>
          <w:sz w:val="28"/>
        </w:rPr>
        <w:lastRenderedPageBreak/>
        <w:t>Proposition concrète :</w:t>
      </w:r>
    </w:p>
    <w:p w14:paraId="27E7F34D" w14:textId="77777777" w:rsidR="00C74FCA" w:rsidRPr="00D13F0D" w:rsidRDefault="00C74FCA">
      <w:pPr>
        <w:spacing w:after="0"/>
        <w:ind w:left="30"/>
        <w:rPr>
          <w:lang w:val="fr-FR"/>
        </w:rPr>
      </w:pPr>
    </w:p>
    <w:p w14:paraId="3E454A98" w14:textId="4288C1D8" w:rsidR="006C390A" w:rsidRPr="00D13F0D" w:rsidRDefault="00C74FCA">
      <w:pPr>
        <w:spacing w:after="272" w:line="260" w:lineRule="auto"/>
        <w:ind w:left="25" w:hanging="10"/>
        <w:rPr>
          <w:lang w:val="fr-FR"/>
        </w:rPr>
      </w:pPr>
      <w:r w:rsidRPr="00C74FCA">
        <w:rPr>
          <w:lang w:val="fr-FR"/>
        </w:rPr>
        <w:t xml:space="preserve">En </w:t>
      </w:r>
      <w:r>
        <w:rPr>
          <w:lang w:val="fr-FR"/>
        </w:rPr>
        <w:t>3</w:t>
      </w:r>
      <w:r w:rsidRPr="00C74FCA">
        <w:rPr>
          <w:lang w:val="fr-FR"/>
        </w:rPr>
        <w:t xml:space="preserve"> points clés</w:t>
      </w:r>
      <w:r w:rsidR="00000000" w:rsidRPr="00D13F0D">
        <w:rPr>
          <w:color w:val="343433"/>
          <w:sz w:val="24"/>
          <w:lang w:val="fr-FR"/>
        </w:rPr>
        <w:t>, le GT justice, défense, sécurité et protection des libertés individuelles</w:t>
      </w:r>
      <w:r>
        <w:rPr>
          <w:color w:val="343433"/>
          <w:sz w:val="24"/>
          <w:lang w:val="fr-FR"/>
        </w:rPr>
        <w:t xml:space="preserve"> </w:t>
      </w:r>
      <w:r w:rsidRPr="00C74FCA">
        <w:rPr>
          <w:lang w:val="fr-FR"/>
        </w:rPr>
        <w:t>appelle à :</w:t>
      </w:r>
      <w:r w:rsidR="00000000" w:rsidRPr="00D13F0D">
        <w:rPr>
          <w:color w:val="343433"/>
          <w:sz w:val="24"/>
          <w:lang w:val="fr-FR"/>
        </w:rPr>
        <w:t xml:space="preserve"> :</w:t>
      </w:r>
    </w:p>
    <w:p w14:paraId="034B7C65" w14:textId="77777777" w:rsidR="006C390A" w:rsidRPr="00D13F0D" w:rsidRDefault="00000000">
      <w:pPr>
        <w:numPr>
          <w:ilvl w:val="0"/>
          <w:numId w:val="3"/>
        </w:numPr>
        <w:spacing w:after="272" w:line="260" w:lineRule="auto"/>
        <w:ind w:right="18" w:hanging="360"/>
        <w:rPr>
          <w:lang w:val="fr-FR"/>
        </w:rPr>
      </w:pPr>
      <w:r w:rsidRPr="00D13F0D">
        <w:rPr>
          <w:color w:val="343433"/>
          <w:sz w:val="24"/>
          <w:lang w:val="fr-FR"/>
        </w:rPr>
        <w:t>Proposons que la Défense collabore activement avec le Service Citoyen.</w:t>
      </w:r>
    </w:p>
    <w:p w14:paraId="01EFD3A3" w14:textId="77777777" w:rsidR="006C390A" w:rsidRPr="00D13F0D" w:rsidRDefault="00000000">
      <w:pPr>
        <w:numPr>
          <w:ilvl w:val="0"/>
          <w:numId w:val="3"/>
        </w:numPr>
        <w:spacing w:after="27" w:line="267" w:lineRule="auto"/>
        <w:ind w:right="18" w:hanging="360"/>
        <w:rPr>
          <w:lang w:val="fr-FR"/>
        </w:rPr>
      </w:pPr>
      <w:r w:rsidRPr="00D13F0D">
        <w:rPr>
          <w:sz w:val="24"/>
          <w:lang w:val="fr-FR"/>
        </w:rPr>
        <w:t>Proposons qu’une loi instaurant un vrai service citoyen soit adoptée en Belgique pour inscrire le SUC dans un projet encore plus vaste.</w:t>
      </w:r>
    </w:p>
    <w:p w14:paraId="6896B662" w14:textId="77777777" w:rsidR="006C390A" w:rsidRPr="00C74FCA" w:rsidRDefault="00000000">
      <w:pPr>
        <w:numPr>
          <w:ilvl w:val="0"/>
          <w:numId w:val="3"/>
        </w:numPr>
        <w:spacing w:after="140" w:line="267" w:lineRule="auto"/>
        <w:ind w:right="18" w:hanging="360"/>
        <w:rPr>
          <w:lang w:val="fr-FR"/>
        </w:rPr>
      </w:pPr>
      <w:r w:rsidRPr="00D13F0D">
        <w:rPr>
          <w:sz w:val="24"/>
          <w:lang w:val="fr-FR"/>
        </w:rPr>
        <w:t>Proposons que les jeunes visés par le projet initial de la Ministre garde leurs avantages sociaux comme le SUC le prévoit, mais (en instaurant le SUC dans un service citoyen encadré par l’Etat) qu’en plus de cela tous les jeunes qui feraient le SUC sans être demandeurs d'emploi ou sans disposer du revenu d’intégration sociale bénéficient d’un statut juridique et d’un meilleur encadrement.</w:t>
      </w:r>
    </w:p>
    <w:p w14:paraId="78DFB7D8" w14:textId="7E7AB47B" w:rsidR="006C390A" w:rsidRPr="00C74FCA" w:rsidRDefault="006C390A" w:rsidP="00C74FCA">
      <w:pPr>
        <w:spacing w:after="140" w:line="267" w:lineRule="auto"/>
        <w:ind w:right="18"/>
        <w:rPr>
          <w:lang w:val="fr-FR"/>
        </w:rPr>
      </w:pPr>
    </w:p>
    <w:sectPr w:rsidR="006C390A" w:rsidRPr="00C74FCA">
      <w:pgSz w:w="11920" w:h="16840"/>
      <w:pgMar w:top="1512" w:right="584" w:bottom="1772" w:left="5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FE4"/>
    <w:multiLevelType w:val="hybridMultilevel"/>
    <w:tmpl w:val="B92EC4D0"/>
    <w:lvl w:ilvl="0" w:tplc="D534CF82">
      <w:start w:val="1"/>
      <w:numFmt w:val="decimal"/>
      <w:lvlText w:val="%1."/>
      <w:lvlJc w:val="left"/>
      <w:pPr>
        <w:ind w:left="51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316082EA">
      <w:start w:val="1"/>
      <w:numFmt w:val="lowerLetter"/>
      <w:lvlText w:val="%2"/>
      <w:lvlJc w:val="left"/>
      <w:pPr>
        <w:ind w:left="123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E6724C52">
      <w:start w:val="1"/>
      <w:numFmt w:val="lowerRoman"/>
      <w:lvlText w:val="%3"/>
      <w:lvlJc w:val="left"/>
      <w:pPr>
        <w:ind w:left="195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6A223828">
      <w:start w:val="1"/>
      <w:numFmt w:val="decimal"/>
      <w:lvlText w:val="%4"/>
      <w:lvlJc w:val="left"/>
      <w:pPr>
        <w:ind w:left="267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D480C934">
      <w:start w:val="1"/>
      <w:numFmt w:val="lowerLetter"/>
      <w:lvlText w:val="%5"/>
      <w:lvlJc w:val="left"/>
      <w:pPr>
        <w:ind w:left="339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668EF5D0">
      <w:start w:val="1"/>
      <w:numFmt w:val="lowerRoman"/>
      <w:lvlText w:val="%6"/>
      <w:lvlJc w:val="left"/>
      <w:pPr>
        <w:ind w:left="411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F636F84C">
      <w:start w:val="1"/>
      <w:numFmt w:val="decimal"/>
      <w:lvlText w:val="%7"/>
      <w:lvlJc w:val="left"/>
      <w:pPr>
        <w:ind w:left="483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243C9ACE">
      <w:start w:val="1"/>
      <w:numFmt w:val="lowerLetter"/>
      <w:lvlText w:val="%8"/>
      <w:lvlJc w:val="left"/>
      <w:pPr>
        <w:ind w:left="555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5DD64260">
      <w:start w:val="1"/>
      <w:numFmt w:val="lowerRoman"/>
      <w:lvlText w:val="%9"/>
      <w:lvlJc w:val="left"/>
      <w:pPr>
        <w:ind w:left="627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 w15:restartNumberingAfterBreak="0">
    <w:nsid w:val="0C4C6327"/>
    <w:multiLevelType w:val="hybridMultilevel"/>
    <w:tmpl w:val="22F45334"/>
    <w:lvl w:ilvl="0" w:tplc="4C6AD842">
      <w:start w:val="1"/>
      <w:numFmt w:val="upperLetter"/>
      <w:lvlText w:val="%1."/>
      <w:lvlJc w:val="left"/>
      <w:pPr>
        <w:ind w:left="37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EFB8087A">
      <w:start w:val="1"/>
      <w:numFmt w:val="lowerLetter"/>
      <w:lvlText w:val="%2"/>
      <w:lvlJc w:val="left"/>
      <w:pPr>
        <w:ind w:left="110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714CFA70">
      <w:start w:val="1"/>
      <w:numFmt w:val="lowerRoman"/>
      <w:lvlText w:val="%3"/>
      <w:lvlJc w:val="left"/>
      <w:pPr>
        <w:ind w:left="182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6212E0D4">
      <w:start w:val="1"/>
      <w:numFmt w:val="decimal"/>
      <w:lvlText w:val="%4"/>
      <w:lvlJc w:val="left"/>
      <w:pPr>
        <w:ind w:left="254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C5643FE8">
      <w:start w:val="1"/>
      <w:numFmt w:val="lowerLetter"/>
      <w:lvlText w:val="%5"/>
      <w:lvlJc w:val="left"/>
      <w:pPr>
        <w:ind w:left="326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14EC0456">
      <w:start w:val="1"/>
      <w:numFmt w:val="lowerRoman"/>
      <w:lvlText w:val="%6"/>
      <w:lvlJc w:val="left"/>
      <w:pPr>
        <w:ind w:left="398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BE22C736">
      <w:start w:val="1"/>
      <w:numFmt w:val="decimal"/>
      <w:lvlText w:val="%7"/>
      <w:lvlJc w:val="left"/>
      <w:pPr>
        <w:ind w:left="470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EA741E1A">
      <w:start w:val="1"/>
      <w:numFmt w:val="lowerLetter"/>
      <w:lvlText w:val="%8"/>
      <w:lvlJc w:val="left"/>
      <w:pPr>
        <w:ind w:left="542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2A7C1DDE">
      <w:start w:val="1"/>
      <w:numFmt w:val="lowerRoman"/>
      <w:lvlText w:val="%9"/>
      <w:lvlJc w:val="left"/>
      <w:pPr>
        <w:ind w:left="6145"/>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 w15:restartNumberingAfterBreak="0">
    <w:nsid w:val="157F55BD"/>
    <w:multiLevelType w:val="hybridMultilevel"/>
    <w:tmpl w:val="D814FBB6"/>
    <w:lvl w:ilvl="0" w:tplc="0413000F">
      <w:start w:val="1"/>
      <w:numFmt w:val="decimal"/>
      <w:lvlText w:val="%1."/>
      <w:lvlJc w:val="left"/>
      <w:pPr>
        <w:ind w:left="870" w:hanging="360"/>
      </w:pPr>
    </w:lvl>
    <w:lvl w:ilvl="1" w:tplc="04130019" w:tentative="1">
      <w:start w:val="1"/>
      <w:numFmt w:val="lowerLetter"/>
      <w:lvlText w:val="%2."/>
      <w:lvlJc w:val="left"/>
      <w:pPr>
        <w:ind w:left="1590" w:hanging="360"/>
      </w:pPr>
    </w:lvl>
    <w:lvl w:ilvl="2" w:tplc="0413001B" w:tentative="1">
      <w:start w:val="1"/>
      <w:numFmt w:val="lowerRoman"/>
      <w:lvlText w:val="%3."/>
      <w:lvlJc w:val="right"/>
      <w:pPr>
        <w:ind w:left="2310" w:hanging="180"/>
      </w:pPr>
    </w:lvl>
    <w:lvl w:ilvl="3" w:tplc="0413000F" w:tentative="1">
      <w:start w:val="1"/>
      <w:numFmt w:val="decimal"/>
      <w:lvlText w:val="%4."/>
      <w:lvlJc w:val="left"/>
      <w:pPr>
        <w:ind w:left="3030" w:hanging="360"/>
      </w:pPr>
    </w:lvl>
    <w:lvl w:ilvl="4" w:tplc="04130019" w:tentative="1">
      <w:start w:val="1"/>
      <w:numFmt w:val="lowerLetter"/>
      <w:lvlText w:val="%5."/>
      <w:lvlJc w:val="left"/>
      <w:pPr>
        <w:ind w:left="3750" w:hanging="360"/>
      </w:pPr>
    </w:lvl>
    <w:lvl w:ilvl="5" w:tplc="0413001B" w:tentative="1">
      <w:start w:val="1"/>
      <w:numFmt w:val="lowerRoman"/>
      <w:lvlText w:val="%6."/>
      <w:lvlJc w:val="right"/>
      <w:pPr>
        <w:ind w:left="4470" w:hanging="180"/>
      </w:pPr>
    </w:lvl>
    <w:lvl w:ilvl="6" w:tplc="0413000F" w:tentative="1">
      <w:start w:val="1"/>
      <w:numFmt w:val="decimal"/>
      <w:lvlText w:val="%7."/>
      <w:lvlJc w:val="left"/>
      <w:pPr>
        <w:ind w:left="5190" w:hanging="360"/>
      </w:pPr>
    </w:lvl>
    <w:lvl w:ilvl="7" w:tplc="04130019" w:tentative="1">
      <w:start w:val="1"/>
      <w:numFmt w:val="lowerLetter"/>
      <w:lvlText w:val="%8."/>
      <w:lvlJc w:val="left"/>
      <w:pPr>
        <w:ind w:left="5910" w:hanging="360"/>
      </w:pPr>
    </w:lvl>
    <w:lvl w:ilvl="8" w:tplc="0413001B" w:tentative="1">
      <w:start w:val="1"/>
      <w:numFmt w:val="lowerRoman"/>
      <w:lvlText w:val="%9."/>
      <w:lvlJc w:val="right"/>
      <w:pPr>
        <w:ind w:left="6630" w:hanging="180"/>
      </w:pPr>
    </w:lvl>
  </w:abstractNum>
  <w:abstractNum w:abstractNumId="3" w15:restartNumberingAfterBreak="0">
    <w:nsid w:val="365B0F73"/>
    <w:multiLevelType w:val="hybridMultilevel"/>
    <w:tmpl w:val="BFDE62FC"/>
    <w:lvl w:ilvl="0" w:tplc="F0544B8A">
      <w:start w:val="1"/>
      <w:numFmt w:val="decimal"/>
      <w:lvlText w:val="%1."/>
      <w:lvlJc w:val="left"/>
      <w:pPr>
        <w:ind w:left="51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780020AC">
      <w:start w:val="1"/>
      <w:numFmt w:val="lowerLetter"/>
      <w:lvlText w:val="%2"/>
      <w:lvlJc w:val="left"/>
      <w:pPr>
        <w:ind w:left="123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AC6661C4">
      <w:start w:val="1"/>
      <w:numFmt w:val="lowerRoman"/>
      <w:lvlText w:val="%3"/>
      <w:lvlJc w:val="left"/>
      <w:pPr>
        <w:ind w:left="195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29C49128">
      <w:start w:val="1"/>
      <w:numFmt w:val="decimal"/>
      <w:lvlText w:val="%4"/>
      <w:lvlJc w:val="left"/>
      <w:pPr>
        <w:ind w:left="267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0E38E608">
      <w:start w:val="1"/>
      <w:numFmt w:val="lowerLetter"/>
      <w:lvlText w:val="%5"/>
      <w:lvlJc w:val="left"/>
      <w:pPr>
        <w:ind w:left="339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3C365954">
      <w:start w:val="1"/>
      <w:numFmt w:val="lowerRoman"/>
      <w:lvlText w:val="%6"/>
      <w:lvlJc w:val="left"/>
      <w:pPr>
        <w:ind w:left="411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60309FDE">
      <w:start w:val="1"/>
      <w:numFmt w:val="decimal"/>
      <w:lvlText w:val="%7"/>
      <w:lvlJc w:val="left"/>
      <w:pPr>
        <w:ind w:left="483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779E67FE">
      <w:start w:val="1"/>
      <w:numFmt w:val="lowerLetter"/>
      <w:lvlText w:val="%8"/>
      <w:lvlJc w:val="left"/>
      <w:pPr>
        <w:ind w:left="555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F5705788">
      <w:start w:val="1"/>
      <w:numFmt w:val="lowerRoman"/>
      <w:lvlText w:val="%9"/>
      <w:lvlJc w:val="left"/>
      <w:pPr>
        <w:ind w:left="627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num w:numId="1" w16cid:durableId="655034086">
    <w:abstractNumId w:val="0"/>
  </w:num>
  <w:num w:numId="2" w16cid:durableId="2124764945">
    <w:abstractNumId w:val="3"/>
  </w:num>
  <w:num w:numId="3" w16cid:durableId="1360816312">
    <w:abstractNumId w:val="1"/>
  </w:num>
  <w:num w:numId="4" w16cid:durableId="1922371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90A"/>
    <w:rsid w:val="006C390A"/>
    <w:rsid w:val="00C74FCA"/>
    <w:rsid w:val="00D13F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1AE7"/>
  <w15:docId w15:val="{B9B05AA2-9474-8645-8470-39D2200E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3F0D"/>
    <w:rPr>
      <w:color w:val="467886" w:themeColor="hyperlink"/>
      <w:u w:val="single"/>
    </w:rPr>
  </w:style>
  <w:style w:type="character" w:styleId="Onopgelostemelding">
    <w:name w:val="Unresolved Mention"/>
    <w:basedOn w:val="Standaardalinea-lettertype"/>
    <w:uiPriority w:val="99"/>
    <w:semiHidden/>
    <w:unhideWhenUsed/>
    <w:rsid w:val="00D13F0D"/>
    <w:rPr>
      <w:color w:val="605E5C"/>
      <w:shd w:val="clear" w:color="auto" w:fill="E1DFDD"/>
    </w:rPr>
  </w:style>
  <w:style w:type="character" w:styleId="GevolgdeHyperlink">
    <w:name w:val="FollowedHyperlink"/>
    <w:basedOn w:val="Standaardalinea-lettertype"/>
    <w:uiPriority w:val="99"/>
    <w:semiHidden/>
    <w:unhideWhenUsed/>
    <w:rsid w:val="00D13F0D"/>
    <w:rPr>
      <w:color w:val="96607D" w:themeColor="followedHyperlink"/>
      <w:u w:val="single"/>
    </w:rPr>
  </w:style>
  <w:style w:type="paragraph" w:styleId="Lijstalinea">
    <w:name w:val="List Paragraph"/>
    <w:basedOn w:val="Standaard"/>
    <w:uiPriority w:val="34"/>
    <w:qFormat/>
    <w:rsid w:val="00C7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Users/dorsan/Library/Containers/net.whatsapp.WhatsApp/Data/tmp/documents/2FCA349C-7986-4AE2-BD67-689818223AC0/DHnet%20%22300.000%20jeunes%20sont%20concern&#233;s%22:%20qu&#8217;est-ce%20que%20le%20Service%20volontaire%20d&#8217;Utilit&#233;%20Collective%20lanc&#233;%20par%20la%20D&#233;fense%3f...%20Approuv&#233;%20cette%20semaine%20en%20Commission%20D&#233;fense,%20l'objectif%20de%20ce%20projet%20est%20de%20faciliter%20l'acc&#232;s%20&#224;%20l'emploi%20pour%20les%20jeunes%20ayant%20perdu%20le...%20.27%20oct.%20202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dorsan/Library/Containers/net.whatsapp.WhatsApp/Data/tmp/documents/2FCA349C-7986-4AE2-BD67-689818223AC0/La%20De&#769;fense%20recrute%20:%204000%20postes%20seront%20a&#768;%20pourvoir%20en%202024%20%20RTBF%20https:/www.rtbf.be%20&#8250;%20Info%20&#8250;%20Belgique"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lesoir.be/570389/article/2024-02-23/pourquoi-certains-jeunes-pourront-recevoir-550-euros-par-mois" TargetMode="External"/><Relationship Id="rId4" Type="http://schemas.openxmlformats.org/officeDocument/2006/relationships/webSettings" Target="webSettings.xml"/><Relationship Id="rId9" Type="http://schemas.openxmlformats.org/officeDocument/2006/relationships/hyperlink" Target="https://www.lesoir.be/570389/article/2024-02-23/pourquoi-certains-jeunes-pourront-recevoir-550-euros-par-moi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3048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Motion congrès 13 mai 2023.docx</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congrès 13 mai 2023.docx</dc:title>
  <dc:subject/>
  <dc:creator>Dorsan de Potter</dc:creator>
  <cp:keywords/>
  <cp:lastModifiedBy>Dorsan de Potter</cp:lastModifiedBy>
  <cp:revision>2</cp:revision>
  <dcterms:created xsi:type="dcterms:W3CDTF">2024-04-02T20:22:00Z</dcterms:created>
  <dcterms:modified xsi:type="dcterms:W3CDTF">2024-04-02T20:22:00Z</dcterms:modified>
</cp:coreProperties>
</file>